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B9DC60" w14:textId="77777777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</w:pPr>
    </w:p>
    <w:p w14:paraId="4B483E38" w14:textId="73EBB6AC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</w:pPr>
      <w:r w:rsidRPr="003816FE"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  <w:t xml:space="preserve">ZAŁĄCZNIK NR </w:t>
      </w:r>
      <w:r w:rsidR="00250220"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  <w:t>17</w:t>
      </w:r>
    </w:p>
    <w:p w14:paraId="2D87C10A" w14:textId="77777777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</w:pPr>
    </w:p>
    <w:p w14:paraId="4C05562D" w14:textId="77777777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</w:pPr>
      <w:r w:rsidRPr="003816FE">
        <w:rPr>
          <w:rFonts w:ascii="Times New Roman" w:eastAsia="Lucida Sans Unicode" w:hAnsi="Times New Roman"/>
          <w:b/>
          <w:bCs/>
          <w:sz w:val="22"/>
          <w:szCs w:val="22"/>
          <w:u w:val="single"/>
          <w:shd w:val="clear" w:color="auto" w:fill="FFFFFF"/>
        </w:rPr>
        <w:t>Oświadczenie sankcyjne</w:t>
      </w:r>
    </w:p>
    <w:p w14:paraId="03C7E95F" w14:textId="77777777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2750A001" w14:textId="77777777" w:rsidR="00825374" w:rsidRPr="003816FE" w:rsidRDefault="00825374" w:rsidP="00825374">
      <w:pPr>
        <w:pStyle w:val="Standard"/>
        <w:rPr>
          <w:rFonts w:ascii="Times New Roman" w:eastAsia="Lucida Sans Unicode" w:hAnsi="Times New Roman"/>
          <w:sz w:val="22"/>
          <w:szCs w:val="22"/>
          <w:shd w:val="clear" w:color="auto" w:fill="FFFFFF"/>
        </w:rPr>
      </w:pPr>
    </w:p>
    <w:p w14:paraId="5B170C92" w14:textId="77777777" w:rsidR="00825374" w:rsidRPr="003816FE" w:rsidRDefault="00825374" w:rsidP="00825374">
      <w:pPr>
        <w:pStyle w:val="Akapitzlist"/>
        <w:numPr>
          <w:ilvl w:val="0"/>
          <w:numId w:val="1"/>
        </w:numPr>
        <w:suppressAutoHyphens w:val="0"/>
        <w:overflowPunct w:val="0"/>
        <w:autoSpaceDE w:val="0"/>
        <w:autoSpaceDN w:val="0"/>
        <w:spacing w:after="120"/>
        <w:contextualSpacing w:val="0"/>
        <w:jc w:val="both"/>
        <w:textAlignment w:val="baseline"/>
        <w:rPr>
          <w:sz w:val="22"/>
          <w:szCs w:val="22"/>
        </w:rPr>
      </w:pP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 oświadcza, że na dzień zawarcia Umowy zarówno on, jak i jego podmioty powiązane w rozumieniu art. 3 ust 1 pkt 43 Ustawy o Rachunkowości z dnia 29 września 1994 r (odpowiednio par. 9 Międzynarodowego Standardu Rachunkowości 24 Ujawnianie informacji na temat podmiotów powiązanych) oraz członkowie ich organów lub osoby działające w ich imieniu i na ich rzecz:</w:t>
      </w:r>
    </w:p>
    <w:p w14:paraId="1E4A1E73" w14:textId="77777777" w:rsidR="00825374" w:rsidRPr="003816FE" w:rsidRDefault="00825374" w:rsidP="00825374">
      <w:pPr>
        <w:numPr>
          <w:ilvl w:val="0"/>
          <w:numId w:val="2"/>
        </w:numPr>
        <w:suppressAutoHyphens w:val="0"/>
        <w:overflowPunct w:val="0"/>
        <w:autoSpaceDE w:val="0"/>
        <w:autoSpaceDN w:val="0"/>
        <w:spacing w:after="16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pozostają w zgodności z przepisami w zakresie zerwania lub ograniczenia w całości lub w części stosunków gospodarczych lub finansowych z jednym lub z większą liczbą państw trzecich w związku z zaistniałym konfliktem zbrojnym lub podejmowaniem działań naruszających szeroko rozumiane bezpieczeństwo, w tym w szczególności z naruszeniem integralności terytorialnej Ukrainy i inwazją na Ukrainę, które obowiązują w dniu podpisania Umowy i w każdym innym dniu obowiązywania Umowy,</w:t>
      </w:r>
    </w:p>
    <w:p w14:paraId="1C7EDA5A" w14:textId="77777777" w:rsidR="00825374" w:rsidRPr="003816FE" w:rsidRDefault="00825374" w:rsidP="00825374">
      <w:pPr>
        <w:overflowPunct w:val="0"/>
        <w:autoSpaceDE w:val="0"/>
        <w:ind w:left="1281" w:hanging="357"/>
        <w:jc w:val="both"/>
        <w:rPr>
          <w:sz w:val="22"/>
          <w:szCs w:val="22"/>
        </w:rPr>
      </w:pPr>
      <w:r w:rsidRPr="003816FE">
        <w:rPr>
          <w:sz w:val="22"/>
          <w:szCs w:val="22"/>
        </w:rPr>
        <w:t>w szczególności z poniższymi aktami prawnymi:</w:t>
      </w:r>
    </w:p>
    <w:p w14:paraId="498B677E" w14:textId="77777777" w:rsidR="00825374" w:rsidRPr="003816FE" w:rsidRDefault="00825374" w:rsidP="00825374">
      <w:pPr>
        <w:overflowPunct w:val="0"/>
        <w:autoSpaceDE w:val="0"/>
        <w:ind w:left="1281" w:hanging="357"/>
        <w:jc w:val="both"/>
        <w:rPr>
          <w:sz w:val="22"/>
          <w:szCs w:val="22"/>
        </w:rPr>
      </w:pPr>
    </w:p>
    <w:p w14:paraId="040E1A7A" w14:textId="77777777" w:rsidR="00825374" w:rsidRPr="003816FE" w:rsidRDefault="00825374" w:rsidP="00825374">
      <w:pPr>
        <w:numPr>
          <w:ilvl w:val="0"/>
          <w:numId w:val="3"/>
        </w:numPr>
        <w:suppressAutoHyphens w:val="0"/>
        <w:overflowPunct w:val="0"/>
        <w:autoSpaceDE w:val="0"/>
        <w:autoSpaceDN w:val="0"/>
        <w:spacing w:after="120"/>
        <w:ind w:left="1281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Decyzją Rady 2014/512/</w:t>
      </w:r>
      <w:proofErr w:type="spellStart"/>
      <w:r w:rsidRPr="003816FE">
        <w:rPr>
          <w:sz w:val="22"/>
          <w:szCs w:val="22"/>
        </w:rPr>
        <w:t>WPZiB</w:t>
      </w:r>
      <w:proofErr w:type="spellEnd"/>
      <w:r w:rsidRPr="003816FE">
        <w:rPr>
          <w:sz w:val="22"/>
          <w:szCs w:val="22"/>
        </w:rPr>
        <w:t xml:space="preserve"> z dnia 31 lipca 2014 r. dotyczącą środków ograniczających w związku z działaniami Rosji destabilizującymi sytuację na Ukrainie,</w:t>
      </w:r>
    </w:p>
    <w:p w14:paraId="2C1A7BA9" w14:textId="77777777" w:rsidR="00825374" w:rsidRPr="003816FE" w:rsidRDefault="00825374" w:rsidP="00825374">
      <w:pPr>
        <w:numPr>
          <w:ilvl w:val="0"/>
          <w:numId w:val="3"/>
        </w:numPr>
        <w:suppressAutoHyphens w:val="0"/>
        <w:overflowPunct w:val="0"/>
        <w:autoSpaceDE w:val="0"/>
        <w:autoSpaceDN w:val="0"/>
        <w:spacing w:after="120"/>
        <w:ind w:left="1281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 xml:space="preserve">Rozporządzeniem Rady (UE) nr 833/2014 z dnia 31 lipca 2014 r. dotyczącym środków ograniczających w związku z działaniami Rosji destabilizującymi sytuację na Ukrainie, </w:t>
      </w:r>
    </w:p>
    <w:p w14:paraId="0F06C4DC" w14:textId="77777777" w:rsidR="00825374" w:rsidRPr="003816FE" w:rsidRDefault="00825374" w:rsidP="00825374">
      <w:pPr>
        <w:numPr>
          <w:ilvl w:val="0"/>
          <w:numId w:val="3"/>
        </w:numPr>
        <w:suppressAutoHyphens w:val="0"/>
        <w:overflowPunct w:val="0"/>
        <w:autoSpaceDE w:val="0"/>
        <w:autoSpaceDN w:val="0"/>
        <w:spacing w:after="120"/>
        <w:ind w:left="1281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Decyzją Rady (</w:t>
      </w:r>
      <w:proofErr w:type="spellStart"/>
      <w:r w:rsidRPr="003816FE">
        <w:rPr>
          <w:sz w:val="22"/>
          <w:szCs w:val="22"/>
        </w:rPr>
        <w:t>WPZiB</w:t>
      </w:r>
      <w:proofErr w:type="spellEnd"/>
      <w:r w:rsidRPr="003816FE">
        <w:rPr>
          <w:sz w:val="22"/>
          <w:szCs w:val="22"/>
        </w:rPr>
        <w:t>) 2022/327 z dnia 25 lutego 2022 r. w sprawie zmiany decyzji 2014/512/</w:t>
      </w:r>
      <w:proofErr w:type="spellStart"/>
      <w:r w:rsidRPr="003816FE">
        <w:rPr>
          <w:sz w:val="22"/>
          <w:szCs w:val="22"/>
        </w:rPr>
        <w:t>WPZiB</w:t>
      </w:r>
      <w:proofErr w:type="spellEnd"/>
      <w:r w:rsidRPr="003816FE">
        <w:rPr>
          <w:sz w:val="22"/>
          <w:szCs w:val="22"/>
        </w:rPr>
        <w:t xml:space="preserve"> dotyczącej środków ograniczających w związku z działaniami Rosji destabilizującymi sytuację na Ukrainie,</w:t>
      </w:r>
    </w:p>
    <w:p w14:paraId="11BAE3D2" w14:textId="77777777" w:rsidR="00825374" w:rsidRPr="003816FE" w:rsidRDefault="00825374" w:rsidP="00825374">
      <w:pPr>
        <w:numPr>
          <w:ilvl w:val="0"/>
          <w:numId w:val="3"/>
        </w:numPr>
        <w:suppressAutoHyphens w:val="0"/>
        <w:overflowPunct w:val="0"/>
        <w:autoSpaceDE w:val="0"/>
        <w:autoSpaceDN w:val="0"/>
        <w:spacing w:after="120"/>
        <w:ind w:left="1281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Ustawą z dnia 13 kwietnia 2022 r. o szczególnych rozwiązaniach w zakresie przeciwdziałania wspieraniu agresji na Ukrainę oraz służących ochronie bezpieczeństwa narodowego</w:t>
      </w:r>
    </w:p>
    <w:p w14:paraId="49C2B619" w14:textId="77777777" w:rsidR="00825374" w:rsidRPr="003816FE" w:rsidRDefault="00825374" w:rsidP="00825374">
      <w:pPr>
        <w:overflowPunct w:val="0"/>
        <w:autoSpaceDE w:val="0"/>
        <w:ind w:left="1281"/>
        <w:jc w:val="both"/>
        <w:rPr>
          <w:sz w:val="22"/>
          <w:szCs w:val="22"/>
        </w:rPr>
      </w:pPr>
      <w:r w:rsidRPr="003816FE">
        <w:rPr>
          <w:sz w:val="22"/>
          <w:szCs w:val="22"/>
        </w:rPr>
        <w:t>oraz przepisami w zakresie przeciwdziałania praniu brudnych pieniędzy i finansowaniu terroryzmu Unii Europejskiej, Rzeczpospolitej Polskiej, Zjednoczonego Królestwa Wielkiej Brytanii i Irlandii Północnej, Stanów Zjednoczonych Ameryki Północnej, Królestwa Norwegii oraz Organizacji Narodów Zjednoczonych,</w:t>
      </w:r>
    </w:p>
    <w:p w14:paraId="4DD0A982" w14:textId="77777777" w:rsidR="00825374" w:rsidRPr="003816FE" w:rsidRDefault="00825374" w:rsidP="00825374">
      <w:pPr>
        <w:overflowPunct w:val="0"/>
        <w:autoSpaceDE w:val="0"/>
        <w:ind w:left="1281"/>
        <w:jc w:val="both"/>
        <w:rPr>
          <w:sz w:val="22"/>
          <w:szCs w:val="22"/>
        </w:rPr>
      </w:pPr>
    </w:p>
    <w:p w14:paraId="5903C48E" w14:textId="77777777" w:rsidR="00825374" w:rsidRPr="003816FE" w:rsidRDefault="00825374" w:rsidP="00825374">
      <w:pPr>
        <w:overflowPunct w:val="0"/>
        <w:autoSpaceDE w:val="0"/>
        <w:spacing w:after="200"/>
        <w:ind w:left="1281"/>
        <w:jc w:val="both"/>
        <w:rPr>
          <w:sz w:val="22"/>
          <w:szCs w:val="22"/>
        </w:rPr>
      </w:pPr>
      <w:r w:rsidRPr="003816FE">
        <w:rPr>
          <w:sz w:val="22"/>
          <w:szCs w:val="22"/>
        </w:rPr>
        <w:t>łącznie: „</w:t>
      </w:r>
      <w:r w:rsidRPr="003816FE">
        <w:rPr>
          <w:b/>
          <w:bCs/>
          <w:sz w:val="22"/>
          <w:szCs w:val="22"/>
        </w:rPr>
        <w:t>Przepisy Sankcyjne</w:t>
      </w:r>
      <w:r w:rsidRPr="003816FE">
        <w:rPr>
          <w:sz w:val="22"/>
          <w:szCs w:val="22"/>
        </w:rPr>
        <w:t>”;</w:t>
      </w:r>
    </w:p>
    <w:p w14:paraId="00985DBF" w14:textId="77777777" w:rsidR="00825374" w:rsidRPr="003816FE" w:rsidRDefault="00825374" w:rsidP="00825374">
      <w:pPr>
        <w:numPr>
          <w:ilvl w:val="0"/>
          <w:numId w:val="2"/>
        </w:numPr>
        <w:suppressAutoHyphens w:val="0"/>
        <w:overflowPunct w:val="0"/>
        <w:autoSpaceDE w:val="0"/>
        <w:autoSpaceDN w:val="0"/>
        <w:spacing w:after="16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nie są objęte jakimikolwiek sankcjami, w tym ekonomicznymi, embargami handlowymi, zakazami przekazywania środków finansowych i zasobów gospodarczych lub innymi środkami ograniczającymi nałożonymi na podstawie Przepisów Sankcyjnych (</w:t>
      </w:r>
      <w:r w:rsidRPr="003816FE">
        <w:rPr>
          <w:b/>
          <w:bCs/>
          <w:sz w:val="22"/>
          <w:szCs w:val="22"/>
        </w:rPr>
        <w:t>„Sankcje”</w:t>
      </w:r>
      <w:r w:rsidRPr="003816FE">
        <w:rPr>
          <w:sz w:val="22"/>
          <w:szCs w:val="22"/>
        </w:rPr>
        <w:t>) oraz nie są osobami prawnymi lub fizycznymi bądź innymi podmiotami, z którymi Przepisy Sankcyjne zabraniają przeprowadzenia transakcji („</w:t>
      </w:r>
      <w:r w:rsidRPr="003816FE">
        <w:rPr>
          <w:b/>
          <w:bCs/>
          <w:sz w:val="22"/>
          <w:szCs w:val="22"/>
        </w:rPr>
        <w:t>Podmiot Objęty Sankcjami</w:t>
      </w:r>
      <w:r w:rsidRPr="003816FE">
        <w:rPr>
          <w:sz w:val="22"/>
          <w:szCs w:val="22"/>
        </w:rPr>
        <w:t>”);</w:t>
      </w:r>
    </w:p>
    <w:p w14:paraId="705119E9" w14:textId="77777777" w:rsidR="00825374" w:rsidRPr="003816FE" w:rsidRDefault="00825374" w:rsidP="00825374">
      <w:pPr>
        <w:numPr>
          <w:ilvl w:val="0"/>
          <w:numId w:val="2"/>
        </w:numPr>
        <w:suppressAutoHyphens w:val="0"/>
        <w:overflowPunct w:val="0"/>
        <w:autoSpaceDE w:val="0"/>
        <w:autoSpaceDN w:val="0"/>
        <w:spacing w:after="16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 xml:space="preserve">nie są własnością ani w posiadaniu, ani w faktycznym władaniu, ani pod kontrolą w rozumieniu </w:t>
      </w:r>
      <w:r w:rsidRPr="003816FE">
        <w:rPr>
          <w:i/>
          <w:iCs/>
          <w:sz w:val="22"/>
          <w:szCs w:val="22"/>
        </w:rPr>
        <w:t xml:space="preserve">Rozporządzenia Rady (UE) nr 269/2014 z dnia 17 marca 2014 r. w sprawie środków ograniczających w odniesieniu do działań podważających integralność terytorialną, suwerenność i niezależność Ukrainy lub im zagrażających </w:t>
      </w:r>
      <w:r w:rsidRPr="003816FE">
        <w:rPr>
          <w:sz w:val="22"/>
          <w:szCs w:val="22"/>
        </w:rPr>
        <w:t>(„Rozporządzenie 269/2014”) Podmiotów Objętych Sankcjami;</w:t>
      </w:r>
    </w:p>
    <w:p w14:paraId="725C0251" w14:textId="77777777" w:rsidR="00825374" w:rsidRPr="003816FE" w:rsidRDefault="00825374" w:rsidP="00825374">
      <w:pPr>
        <w:numPr>
          <w:ilvl w:val="0"/>
          <w:numId w:val="2"/>
        </w:numPr>
        <w:suppressAutoHyphens w:val="0"/>
        <w:overflowPunct w:val="0"/>
        <w:autoSpaceDE w:val="0"/>
        <w:autoSpaceDN w:val="0"/>
        <w:spacing w:after="16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nie uczestniczą w żadnym postępowaniu lub dochodzeniu prowadzonym przeciwko nim w związku z naruszeniem jakichkolwiek Przepisów Sankcyjnych lub Sankcji;</w:t>
      </w:r>
    </w:p>
    <w:p w14:paraId="4ED1E0C6" w14:textId="77777777" w:rsidR="00825374" w:rsidRPr="003816FE" w:rsidRDefault="00825374" w:rsidP="00825374">
      <w:pPr>
        <w:numPr>
          <w:ilvl w:val="0"/>
          <w:numId w:val="2"/>
        </w:numPr>
        <w:suppressAutoHyphens w:val="0"/>
        <w:overflowPunct w:val="0"/>
        <w:autoSpaceDE w:val="0"/>
        <w:autoSpaceDN w:val="0"/>
        <w:spacing w:after="16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 xml:space="preserve">żaden Podmiot Objęty Sankcjami nie jest beneficjentem rzeczywistym Zleceniodawcy w rozumieniu Dyrektywy Parlamentu Europejskiego i Rady (UE) 2015/849 z dnia 20 maja 2015 </w:t>
      </w:r>
      <w:r w:rsidRPr="003816FE">
        <w:rPr>
          <w:sz w:val="22"/>
          <w:szCs w:val="22"/>
        </w:rPr>
        <w:lastRenderedPageBreak/>
        <w:t xml:space="preserve">r. w sprawie </w:t>
      </w:r>
      <w:r w:rsidRPr="003816FE">
        <w:rPr>
          <w:i/>
          <w:iCs/>
          <w:sz w:val="22"/>
          <w:szCs w:val="22"/>
        </w:rPr>
        <w:t>zapobiegania wykorzystywaniu systemu finansowego do prania pieniędzy lub finansowania terroryzmu, zmieniającej rozporządzenie Parlamentu Europejskiego i Rady (UE) nr 648/2012 i uchylającej dyrektywę Parlamentu Europejskiego i Rady 2055/60/WE oraz dyrektywę Komisji 2006/70/WE.</w:t>
      </w:r>
    </w:p>
    <w:p w14:paraId="64A8F5CD" w14:textId="77777777" w:rsidR="00825374" w:rsidRPr="003816FE" w:rsidRDefault="00825374" w:rsidP="00825374">
      <w:pPr>
        <w:pStyle w:val="Akapitzlist"/>
        <w:numPr>
          <w:ilvl w:val="0"/>
          <w:numId w:val="4"/>
        </w:numPr>
        <w:suppressAutoHyphens w:val="0"/>
        <w:overflowPunct w:val="0"/>
        <w:autoSpaceDE w:val="0"/>
        <w:autoSpaceDN w:val="0"/>
        <w:spacing w:after="120"/>
        <w:contextualSpacing w:val="0"/>
        <w:jc w:val="both"/>
        <w:textAlignment w:val="baseline"/>
        <w:rPr>
          <w:sz w:val="22"/>
          <w:szCs w:val="22"/>
        </w:rPr>
      </w:pP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zobowiązuje się do współpracy z </w:t>
      </w:r>
      <w:r>
        <w:rPr>
          <w:sz w:val="22"/>
          <w:szCs w:val="22"/>
        </w:rPr>
        <w:t>Zamawiającym</w:t>
      </w:r>
      <w:r w:rsidRPr="003816FE">
        <w:rPr>
          <w:sz w:val="22"/>
          <w:szCs w:val="22"/>
        </w:rPr>
        <w:t xml:space="preserve"> i przekazywania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 xml:space="preserve"> wszelkich informacji dla celów weryfikacji prawdziwości oświadczeń zawartych w ust. 1 powyżej, w tym informacji o zmianie okoliczności mających wpływ na treść oświadczeń. W przypadku powzięcia przez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 xml:space="preserve"> jakiejkolwiek wątpliwości, co do prawdziwości zawartych powyżej oświadczeń, </w:t>
      </w:r>
      <w:r>
        <w:rPr>
          <w:sz w:val="22"/>
          <w:szCs w:val="22"/>
        </w:rPr>
        <w:t>Zamawiający</w:t>
      </w:r>
      <w:r w:rsidRPr="003816FE">
        <w:rPr>
          <w:sz w:val="22"/>
          <w:szCs w:val="22"/>
        </w:rPr>
        <w:t xml:space="preserve"> niezwłocznie powiadomi o tym </w:t>
      </w:r>
      <w:r>
        <w:rPr>
          <w:sz w:val="22"/>
          <w:szCs w:val="22"/>
        </w:rPr>
        <w:t>Wykonawcę</w:t>
      </w:r>
      <w:r w:rsidRPr="003816FE">
        <w:rPr>
          <w:sz w:val="22"/>
          <w:szCs w:val="22"/>
        </w:rPr>
        <w:t xml:space="preserve">. </w:t>
      </w: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zobowiązuje się do niezwłocznego podjęcia działań w celu wyjaśnienia zidentyfikowanych wątpliwości oraz w celu uniknięcia możliwości naruszenia Przepisów Sankcyjnych lub Sankcji.</w:t>
      </w:r>
    </w:p>
    <w:p w14:paraId="40EAAC90" w14:textId="77777777" w:rsidR="00825374" w:rsidRPr="003816FE" w:rsidRDefault="00825374" w:rsidP="00825374">
      <w:pPr>
        <w:pStyle w:val="Akapitzlist"/>
        <w:numPr>
          <w:ilvl w:val="0"/>
          <w:numId w:val="4"/>
        </w:numPr>
        <w:suppressAutoHyphens w:val="0"/>
        <w:overflowPunct w:val="0"/>
        <w:autoSpaceDE w:val="0"/>
        <w:autoSpaceDN w:val="0"/>
        <w:spacing w:after="120"/>
        <w:contextualSpacing w:val="0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 xml:space="preserve">W przypadku gdy oświadczenia zawarte w ust. 1 powyżej okażą się nieprawdziwe w jakiejkolwiek części, stanowić to będzie uzasadnioną podstawę umożliwiającą </w:t>
      </w:r>
      <w:r>
        <w:rPr>
          <w:sz w:val="22"/>
          <w:szCs w:val="22"/>
        </w:rPr>
        <w:t>Zamawiającemu</w:t>
      </w:r>
      <w:r w:rsidRPr="003816FE">
        <w:rPr>
          <w:sz w:val="22"/>
          <w:szCs w:val="22"/>
        </w:rPr>
        <w:t xml:space="preserve"> rozwiązanie Umowy ze skutkiem natychmiastowym, bez ponoszenia jakichkolwiek kosztów. Rozwiązanie Umowy w tym trybie nie ma wpływu na prawa nabyte przez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 xml:space="preserve"> przed rozwiązaniem Umowy, zaś wszystkie kwoty należne </w:t>
      </w:r>
      <w:r>
        <w:rPr>
          <w:sz w:val="22"/>
          <w:szCs w:val="22"/>
        </w:rPr>
        <w:t>Zamawiającemu</w:t>
      </w:r>
      <w:r w:rsidRPr="003816FE">
        <w:rPr>
          <w:sz w:val="22"/>
          <w:szCs w:val="22"/>
        </w:rPr>
        <w:t xml:space="preserve"> staną się wymagalne w pełnej wysokości z chwilą rozwiązania Umowy.</w:t>
      </w:r>
    </w:p>
    <w:p w14:paraId="05EAEA28" w14:textId="77777777" w:rsidR="00825374" w:rsidRPr="003816FE" w:rsidRDefault="00825374" w:rsidP="00825374">
      <w:pPr>
        <w:numPr>
          <w:ilvl w:val="0"/>
          <w:numId w:val="4"/>
        </w:numPr>
        <w:suppressAutoHyphens w:val="0"/>
        <w:overflowPunct w:val="0"/>
        <w:autoSpaceDE w:val="0"/>
        <w:autoSpaceDN w:val="0"/>
        <w:spacing w:after="120"/>
        <w:ind w:left="357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>W przypadku gdy:</w:t>
      </w:r>
    </w:p>
    <w:p w14:paraId="2025ABD8" w14:textId="77777777" w:rsidR="00825374" w:rsidRPr="003816FE" w:rsidRDefault="00825374" w:rsidP="00825374">
      <w:pPr>
        <w:numPr>
          <w:ilvl w:val="0"/>
          <w:numId w:val="5"/>
        </w:numPr>
        <w:suppressAutoHyphens w:val="0"/>
        <w:overflowPunct w:val="0"/>
        <w:autoSpaceDE w:val="0"/>
        <w:autoSpaceDN w:val="0"/>
        <w:spacing w:after="120"/>
        <w:ind w:left="924" w:hanging="357"/>
        <w:jc w:val="both"/>
        <w:textAlignment w:val="baseline"/>
        <w:rPr>
          <w:sz w:val="22"/>
          <w:szCs w:val="22"/>
        </w:rPr>
      </w:pPr>
      <w:r w:rsidRPr="003816FE">
        <w:rPr>
          <w:sz w:val="22"/>
          <w:szCs w:val="22"/>
        </w:rPr>
        <w:t xml:space="preserve">oświadczenia </w:t>
      </w:r>
      <w:r>
        <w:rPr>
          <w:sz w:val="22"/>
          <w:szCs w:val="22"/>
        </w:rPr>
        <w:t>Wykonawcy</w:t>
      </w:r>
      <w:r w:rsidRPr="003816FE">
        <w:rPr>
          <w:sz w:val="22"/>
          <w:szCs w:val="22"/>
        </w:rPr>
        <w:t xml:space="preserve"> zawarte w ust.1 powyżej okażą się nieprawdziwe w jakiejkolwiek części lub </w:t>
      </w:r>
    </w:p>
    <w:p w14:paraId="603E307E" w14:textId="77777777" w:rsidR="00825374" w:rsidRPr="003816FE" w:rsidRDefault="00825374" w:rsidP="00825374">
      <w:pPr>
        <w:numPr>
          <w:ilvl w:val="0"/>
          <w:numId w:val="5"/>
        </w:numPr>
        <w:suppressAutoHyphens w:val="0"/>
        <w:overflowPunct w:val="0"/>
        <w:autoSpaceDE w:val="0"/>
        <w:autoSpaceDN w:val="0"/>
        <w:spacing w:after="120"/>
        <w:ind w:left="924" w:hanging="357"/>
        <w:jc w:val="both"/>
        <w:textAlignment w:val="baseline"/>
        <w:rPr>
          <w:sz w:val="22"/>
          <w:szCs w:val="22"/>
        </w:rPr>
      </w:pP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nie poinformuje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 xml:space="preserve"> o zmianie okoliczności mających wpływ na treść w/w oświadczeń w jakimkolwiek zakresie, lub </w:t>
      </w:r>
    </w:p>
    <w:p w14:paraId="4CD7465D" w14:textId="77777777" w:rsidR="00825374" w:rsidRPr="003816FE" w:rsidRDefault="00825374" w:rsidP="00825374">
      <w:pPr>
        <w:numPr>
          <w:ilvl w:val="0"/>
          <w:numId w:val="5"/>
        </w:numPr>
        <w:suppressAutoHyphens w:val="0"/>
        <w:overflowPunct w:val="0"/>
        <w:autoSpaceDE w:val="0"/>
        <w:autoSpaceDN w:val="0"/>
        <w:spacing w:after="120"/>
        <w:ind w:left="924" w:hanging="357"/>
        <w:jc w:val="both"/>
        <w:textAlignment w:val="baseline"/>
        <w:rPr>
          <w:sz w:val="22"/>
          <w:szCs w:val="22"/>
        </w:rPr>
      </w:pP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dopuści się naruszenia Przepisów Sankcyjnych lub Sankcji,</w:t>
      </w:r>
    </w:p>
    <w:p w14:paraId="79B32989" w14:textId="77777777" w:rsidR="00825374" w:rsidRPr="003816FE" w:rsidRDefault="00825374" w:rsidP="00825374">
      <w:pPr>
        <w:overflowPunct w:val="0"/>
        <w:autoSpaceDE w:val="0"/>
        <w:spacing w:after="120"/>
        <w:ind w:left="357" w:hanging="357"/>
        <w:jc w:val="both"/>
        <w:rPr>
          <w:sz w:val="22"/>
          <w:szCs w:val="22"/>
        </w:rPr>
      </w:pPr>
      <w:r w:rsidRPr="003816FE">
        <w:rPr>
          <w:sz w:val="22"/>
          <w:szCs w:val="22"/>
        </w:rPr>
        <w:t xml:space="preserve">      </w:t>
      </w: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zobowiązany będzie do zapłaty na rzecz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>, w terminie 14 dni od wezwa</w:t>
      </w:r>
      <w:r>
        <w:rPr>
          <w:sz w:val="22"/>
          <w:szCs w:val="22"/>
        </w:rPr>
        <w:t>nia Wykonawcy</w:t>
      </w:r>
      <w:r w:rsidRPr="003816FE">
        <w:rPr>
          <w:sz w:val="22"/>
          <w:szCs w:val="22"/>
        </w:rPr>
        <w:t xml:space="preserve"> w formie pisemnej, kary umownej w wysokości  50.000 zł (pięćdziesiąt tysięcy złotych 00/100) za każde naruszenie. </w:t>
      </w:r>
      <w:r>
        <w:rPr>
          <w:sz w:val="22"/>
          <w:szCs w:val="22"/>
        </w:rPr>
        <w:t>Wykonawca</w:t>
      </w:r>
      <w:r w:rsidRPr="003816FE">
        <w:rPr>
          <w:sz w:val="22"/>
          <w:szCs w:val="22"/>
        </w:rPr>
        <w:t xml:space="preserve"> zobowiązany jest również do pokrycia wszelkich kosztów poniesionych przez </w:t>
      </w:r>
      <w:r>
        <w:rPr>
          <w:sz w:val="22"/>
          <w:szCs w:val="22"/>
        </w:rPr>
        <w:t>Zamawiającego</w:t>
      </w:r>
      <w:r w:rsidRPr="003816FE">
        <w:rPr>
          <w:sz w:val="22"/>
          <w:szCs w:val="22"/>
        </w:rPr>
        <w:t xml:space="preserve"> wynikających z zaistniałej sytuacji, kosztów związanych z prowadzeniem ewentualnych postępowań w zakresie naruszenia Przepisów Sankcyjnych lub Sankcji w związku z Umową i kosztów związanych z rozwiązaniem Umowy ze skutkiem natychmiastowym.</w:t>
      </w:r>
    </w:p>
    <w:p w14:paraId="694D5F1C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58469634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26FD2B59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5974C2BB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6F5F721F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3BAA0892" w14:textId="77777777" w:rsidR="00825374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0517A5E1" w14:textId="77777777" w:rsidR="00825374" w:rsidRPr="003816FE" w:rsidRDefault="00825374" w:rsidP="00825374">
      <w:pPr>
        <w:pStyle w:val="Standard"/>
        <w:jc w:val="center"/>
        <w:rPr>
          <w:rFonts w:ascii="Times New Roman" w:eastAsia="Lucida Sans Unicode" w:hAnsi="Times New Roman"/>
          <w:i/>
          <w:iCs/>
          <w:sz w:val="22"/>
          <w:szCs w:val="22"/>
          <w:shd w:val="clear" w:color="auto" w:fill="FFFFFF"/>
        </w:rPr>
      </w:pPr>
    </w:p>
    <w:p w14:paraId="77435E3C" w14:textId="77777777" w:rsidR="00825374" w:rsidRPr="003816FE" w:rsidRDefault="00825374" w:rsidP="00825374">
      <w:pPr>
        <w:pStyle w:val="Standard"/>
        <w:rPr>
          <w:rFonts w:ascii="Times New Roman" w:hAnsi="Times New Roman"/>
          <w:sz w:val="22"/>
          <w:szCs w:val="22"/>
        </w:rPr>
      </w:pPr>
    </w:p>
    <w:p w14:paraId="6E831828" w14:textId="77777777" w:rsidR="00825374" w:rsidRDefault="00825374" w:rsidP="00825374">
      <w:pPr>
        <w:pStyle w:val="Standard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                        Wykonawca</w:t>
      </w:r>
    </w:p>
    <w:p w14:paraId="3642BA2E" w14:textId="77777777" w:rsidR="00825374" w:rsidRDefault="00825374" w:rsidP="00825374">
      <w:pPr>
        <w:pStyle w:val="Standard"/>
        <w:ind w:left="2840" w:firstLine="284"/>
        <w:jc w:val="both"/>
        <w:rPr>
          <w:rFonts w:ascii="Times New Roman" w:hAnsi="Times New Roman"/>
          <w:sz w:val="22"/>
          <w:szCs w:val="22"/>
        </w:rPr>
      </w:pPr>
    </w:p>
    <w:p w14:paraId="38ED5618" w14:textId="77777777" w:rsidR="00825374" w:rsidRDefault="00825374" w:rsidP="00825374">
      <w:pPr>
        <w:pStyle w:val="Standard"/>
        <w:ind w:left="2840" w:firstLine="284"/>
        <w:jc w:val="both"/>
        <w:rPr>
          <w:rFonts w:ascii="Times New Roman" w:hAnsi="Times New Roman"/>
          <w:sz w:val="22"/>
          <w:szCs w:val="22"/>
        </w:rPr>
      </w:pPr>
    </w:p>
    <w:p w14:paraId="040CB954" w14:textId="77777777" w:rsidR="00825374" w:rsidRDefault="00825374" w:rsidP="00825374">
      <w:pPr>
        <w:pStyle w:val="Standard"/>
        <w:ind w:left="2840" w:firstLine="284"/>
        <w:jc w:val="both"/>
        <w:rPr>
          <w:rFonts w:ascii="Times New Roman" w:hAnsi="Times New Roman"/>
          <w:sz w:val="22"/>
          <w:szCs w:val="22"/>
        </w:rPr>
      </w:pPr>
    </w:p>
    <w:p w14:paraId="772E807D" w14:textId="77777777" w:rsidR="00825374" w:rsidRPr="003816FE" w:rsidRDefault="00825374" w:rsidP="00825374">
      <w:pPr>
        <w:pStyle w:val="Standard"/>
        <w:ind w:left="2840" w:firstLine="284"/>
        <w:jc w:val="both"/>
        <w:rPr>
          <w:rFonts w:ascii="Times New Roman" w:hAnsi="Times New Roman"/>
          <w:sz w:val="22"/>
          <w:szCs w:val="22"/>
        </w:rPr>
      </w:pPr>
    </w:p>
    <w:p w14:paraId="4E04255C" w14:textId="77777777" w:rsidR="00825374" w:rsidRPr="003816FE" w:rsidRDefault="00825374" w:rsidP="00825374">
      <w:pPr>
        <w:pStyle w:val="Standard"/>
        <w:jc w:val="both"/>
        <w:rPr>
          <w:rFonts w:ascii="Times New Roman" w:hAnsi="Times New Roman"/>
          <w:sz w:val="22"/>
          <w:szCs w:val="22"/>
        </w:rPr>
      </w:pP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</w:r>
      <w:r w:rsidRPr="003816FE">
        <w:rPr>
          <w:rFonts w:ascii="Times New Roman" w:hAnsi="Times New Roman"/>
          <w:sz w:val="22"/>
          <w:szCs w:val="22"/>
        </w:rPr>
        <w:tab/>
        <w:t>………………………………………..</w:t>
      </w:r>
    </w:p>
    <w:p w14:paraId="101A0E45" w14:textId="77777777" w:rsidR="00825374" w:rsidRPr="003816FE" w:rsidRDefault="00825374" w:rsidP="00825374">
      <w:pPr>
        <w:pStyle w:val="Standard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                      </w:t>
      </w:r>
      <w:r w:rsidRPr="003816FE">
        <w:rPr>
          <w:rFonts w:ascii="Times New Roman" w:hAnsi="Times New Roman"/>
          <w:sz w:val="22"/>
          <w:szCs w:val="22"/>
        </w:rPr>
        <w:t>data i podpis )</w:t>
      </w:r>
    </w:p>
    <w:p w14:paraId="52A22A5B" w14:textId="77777777" w:rsidR="00825374" w:rsidRPr="003816FE" w:rsidRDefault="00825374" w:rsidP="00825374">
      <w:pPr>
        <w:pStyle w:val="Standard"/>
        <w:jc w:val="both"/>
        <w:rPr>
          <w:rFonts w:ascii="Times New Roman" w:hAnsi="Times New Roman"/>
          <w:sz w:val="22"/>
          <w:szCs w:val="22"/>
        </w:rPr>
      </w:pPr>
    </w:p>
    <w:p w14:paraId="4FC89BA8" w14:textId="77777777" w:rsidR="00412B30" w:rsidRDefault="00412B30"/>
    <w:sectPr w:rsidR="00412B30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431A90" w14:textId="77777777" w:rsidR="00DA2461" w:rsidRDefault="00DA2461" w:rsidP="00DA2461">
      <w:r>
        <w:separator/>
      </w:r>
    </w:p>
  </w:endnote>
  <w:endnote w:type="continuationSeparator" w:id="0">
    <w:p w14:paraId="2F2CE643" w14:textId="77777777" w:rsidR="00DA2461" w:rsidRDefault="00DA2461" w:rsidP="00DA2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C8835C" w14:textId="77777777" w:rsidR="00DA2461" w:rsidRDefault="00DA2461" w:rsidP="00DA2461">
      <w:r>
        <w:separator/>
      </w:r>
    </w:p>
  </w:footnote>
  <w:footnote w:type="continuationSeparator" w:id="0">
    <w:p w14:paraId="77A54F3D" w14:textId="77777777" w:rsidR="00DA2461" w:rsidRDefault="00DA2461" w:rsidP="00DA24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F7CA5" w14:textId="36F8118D" w:rsidR="00DA2461" w:rsidRDefault="00DA2461">
    <w:pPr>
      <w:pStyle w:val="Nagwek"/>
    </w:pPr>
    <w:r>
      <w:rPr>
        <w:noProof/>
      </w:rPr>
      <w:drawing>
        <wp:inline distT="0" distB="0" distL="0" distR="0" wp14:anchorId="6319F9BA" wp14:editId="08CE1A07">
          <wp:extent cx="5760720" cy="519079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A4B219C" w14:textId="77777777" w:rsidR="00DA2461" w:rsidRDefault="00DA246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6121A7"/>
    <w:multiLevelType w:val="multilevel"/>
    <w:tmpl w:val="7D7468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C984B3C"/>
    <w:multiLevelType w:val="multilevel"/>
    <w:tmpl w:val="E35604E6"/>
    <w:lvl w:ilvl="0">
      <w:start w:val="1"/>
      <w:numFmt w:val="lowerRoman"/>
      <w:lvlText w:val="(%1)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B52DC3"/>
    <w:multiLevelType w:val="multilevel"/>
    <w:tmpl w:val="7BC25348"/>
    <w:lvl w:ilvl="0">
      <w:start w:val="1"/>
      <w:numFmt w:val="lowerRoman"/>
      <w:lvlText w:val="(%1)"/>
      <w:lvlJc w:val="left"/>
      <w:pPr>
        <w:ind w:left="1429" w:hanging="72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30C6468"/>
    <w:multiLevelType w:val="multilevel"/>
    <w:tmpl w:val="8760D226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784562"/>
    <w:multiLevelType w:val="multilevel"/>
    <w:tmpl w:val="F9F82F76"/>
    <w:lvl w:ilvl="0">
      <w:numFmt w:val="bullet"/>
      <w:lvlText w:val=""/>
      <w:lvlJc w:val="left"/>
      <w:pPr>
        <w:ind w:left="2137" w:hanging="360"/>
      </w:pPr>
      <w:rPr>
        <w:rFonts w:ascii="Symbol" w:hAnsi="Symbol"/>
      </w:rPr>
    </w:lvl>
    <w:lvl w:ilvl="1">
      <w:numFmt w:val="bullet"/>
      <w:lvlText w:val="-"/>
      <w:lvlJc w:val="left"/>
      <w:pPr>
        <w:ind w:left="2857" w:hanging="360"/>
      </w:pPr>
      <w:rPr>
        <w:rFonts w:ascii="Arial" w:eastAsia="Arial" w:hAnsi="Arial" w:cs="Arial"/>
      </w:rPr>
    </w:lvl>
    <w:lvl w:ilvl="2">
      <w:numFmt w:val="bullet"/>
      <w:lvlText w:val=""/>
      <w:lvlJc w:val="left"/>
      <w:pPr>
        <w:ind w:left="357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29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501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73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45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717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897" w:hanging="360"/>
      </w:pPr>
      <w:rPr>
        <w:rFonts w:ascii="Wingdings" w:hAnsi="Wingdings"/>
      </w:rPr>
    </w:lvl>
  </w:abstractNum>
  <w:num w:numId="1" w16cid:durableId="228005430">
    <w:abstractNumId w:val="0"/>
  </w:num>
  <w:num w:numId="2" w16cid:durableId="1432313583">
    <w:abstractNumId w:val="1"/>
  </w:num>
  <w:num w:numId="3" w16cid:durableId="1222985345">
    <w:abstractNumId w:val="4"/>
  </w:num>
  <w:num w:numId="4" w16cid:durableId="366032851">
    <w:abstractNumId w:val="3"/>
  </w:num>
  <w:num w:numId="5" w16cid:durableId="12130805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5374"/>
    <w:rsid w:val="00250220"/>
    <w:rsid w:val="00412B30"/>
    <w:rsid w:val="006A3B10"/>
    <w:rsid w:val="007E39E4"/>
    <w:rsid w:val="00825374"/>
    <w:rsid w:val="00DA2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A4B1FD"/>
  <w15:chartTrackingRefBased/>
  <w15:docId w15:val="{DA4C5BC1-C742-4172-A0F6-DC5C0F731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374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zh-CN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825374"/>
    <w:pPr>
      <w:ind w:left="720"/>
      <w:contextualSpacing/>
    </w:pPr>
  </w:style>
  <w:style w:type="paragraph" w:customStyle="1" w:styleId="Standard">
    <w:name w:val="Standard"/>
    <w:rsid w:val="00825374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Times New Roman"/>
      <w:kern w:val="3"/>
      <w:sz w:val="20"/>
      <w:szCs w:val="20"/>
      <w:lang w:eastAsia="ar-SA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DA2461"/>
    <w:pPr>
      <w:tabs>
        <w:tab w:val="center" w:pos="4703"/>
        <w:tab w:val="right" w:pos="940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2461"/>
    <w:rPr>
      <w:rFonts w:ascii="Times New Roman" w:eastAsia="Times New Roman" w:hAnsi="Times New Roman" w:cs="Times New Roman"/>
      <w:kern w:val="0"/>
      <w:sz w:val="24"/>
      <w:szCs w:val="24"/>
      <w:lang w:eastAsia="zh-CN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DA2461"/>
    <w:pPr>
      <w:tabs>
        <w:tab w:val="center" w:pos="4703"/>
        <w:tab w:val="right" w:pos="9406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2461"/>
    <w:rPr>
      <w:rFonts w:ascii="Times New Roman" w:eastAsia="Times New Roman" w:hAnsi="Times New Roman" w:cs="Times New Roman"/>
      <w:kern w:val="0"/>
      <w:sz w:val="24"/>
      <w:szCs w:val="24"/>
      <w:lang w:eastAsia="zh-C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833</Words>
  <Characters>4617</Characters>
  <Application>Microsoft Office Word</Application>
  <DocSecurity>0</DocSecurity>
  <Lines>355</Lines>
  <Paragraphs>302</Paragraphs>
  <ScaleCrop>false</ScaleCrop>
  <Company/>
  <LinksUpToDate>false</LinksUpToDate>
  <CharactersWithSpaces>5148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Skrzeczynski</dc:creator>
  <cp:keywords/>
  <dc:description/>
  <cp:lastModifiedBy>Robert Grzywacz</cp:lastModifiedBy>
  <cp:revision>2</cp:revision>
  <dcterms:created xsi:type="dcterms:W3CDTF">2025-09-25T10:55:00Z</dcterms:created>
  <dcterms:modified xsi:type="dcterms:W3CDTF">2025-09-25T10:55:00Z</dcterms:modified>
</cp:coreProperties>
</file>